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A3B4F" w14:textId="6E3E49AF" w:rsidR="00101BBE" w:rsidRPr="00101BBE" w:rsidRDefault="00101BBE">
      <w:pPr>
        <w:rPr>
          <w:rFonts w:ascii="Bookman Old Style" w:hAnsi="Bookman Old Style"/>
          <w:sz w:val="22"/>
          <w:szCs w:val="22"/>
        </w:rPr>
      </w:pPr>
      <w:r w:rsidRPr="00101BBE">
        <w:rPr>
          <w:rFonts w:ascii="Bookman Old Style" w:hAnsi="Bookman Old Style"/>
          <w:sz w:val="22"/>
          <w:szCs w:val="22"/>
        </w:rPr>
        <w:t>ENTI DI DIRITTO PRIVATO CONTROLLATI DAL COMUNE DI VIGONOVO</w:t>
      </w:r>
      <w:r w:rsidR="00BB2A5E">
        <w:rPr>
          <w:rFonts w:ascii="Bookman Old Style" w:hAnsi="Bookman Old Style"/>
          <w:sz w:val="22"/>
          <w:szCs w:val="22"/>
        </w:rPr>
        <w:t xml:space="preserve"> – AGGIORNAMENTO 202</w:t>
      </w:r>
      <w:r w:rsidR="00D62BE3">
        <w:rPr>
          <w:rFonts w:ascii="Bookman Old Style" w:hAnsi="Bookman Old Style"/>
          <w:sz w:val="22"/>
          <w:szCs w:val="22"/>
        </w:rPr>
        <w:t>4</w:t>
      </w:r>
    </w:p>
    <w:tbl>
      <w:tblPr>
        <w:tblStyle w:val="Grigliatabella"/>
        <w:tblW w:w="19670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134"/>
        <w:gridCol w:w="1087"/>
        <w:gridCol w:w="1210"/>
        <w:gridCol w:w="1531"/>
        <w:gridCol w:w="1228"/>
        <w:gridCol w:w="1417"/>
        <w:gridCol w:w="1466"/>
        <w:gridCol w:w="1559"/>
        <w:gridCol w:w="1417"/>
        <w:gridCol w:w="1418"/>
        <w:gridCol w:w="2126"/>
      </w:tblGrid>
      <w:tr w:rsidR="00101BBE" w:rsidRPr="00101BBE" w14:paraId="54E1A90D" w14:textId="77777777" w:rsidTr="00BB2A5E">
        <w:tc>
          <w:tcPr>
            <w:tcW w:w="1809" w:type="dxa"/>
            <w:shd w:val="clear" w:color="auto" w:fill="E5DFEC" w:themeFill="accent4" w:themeFillTint="33"/>
          </w:tcPr>
          <w:p w14:paraId="65C7192E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Ragione sociale link al sito della società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14:paraId="221DEE27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Funzioni attribuite, attività o servizi pubblici svolti in favore del Comune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1460BFB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Misura eventuale della partecipazione comunale</w:t>
            </w:r>
          </w:p>
        </w:tc>
        <w:tc>
          <w:tcPr>
            <w:tcW w:w="1087" w:type="dxa"/>
            <w:shd w:val="clear" w:color="auto" w:fill="E5DFEC" w:themeFill="accent4" w:themeFillTint="33"/>
          </w:tcPr>
          <w:p w14:paraId="274696C5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Durata dell'impegno del Comune con la società</w:t>
            </w:r>
          </w:p>
        </w:tc>
        <w:tc>
          <w:tcPr>
            <w:tcW w:w="1210" w:type="dxa"/>
            <w:shd w:val="clear" w:color="auto" w:fill="E5DFEC" w:themeFill="accent4" w:themeFillTint="33"/>
          </w:tcPr>
          <w:p w14:paraId="5A12BD56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Onere complessivo a qualsiasi titolo gravante sul bilancio Comune</w:t>
            </w:r>
          </w:p>
        </w:tc>
        <w:tc>
          <w:tcPr>
            <w:tcW w:w="1531" w:type="dxa"/>
            <w:shd w:val="clear" w:color="auto" w:fill="E5DFEC" w:themeFill="accent4" w:themeFillTint="33"/>
          </w:tcPr>
          <w:p w14:paraId="1BF667CF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Numero rappresentanti del Comune negli organi di governo della società</w:t>
            </w:r>
          </w:p>
        </w:tc>
        <w:tc>
          <w:tcPr>
            <w:tcW w:w="1228" w:type="dxa"/>
            <w:shd w:val="clear" w:color="auto" w:fill="E5DFEC" w:themeFill="accent4" w:themeFillTint="33"/>
          </w:tcPr>
          <w:p w14:paraId="56F92253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Trattamento economico complessivo spettante a ciascun rappresentante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75237254" w14:textId="0824017F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Risultati di bilancio esercizio 20</w:t>
            </w:r>
            <w:r w:rsidR="00D62BE3">
              <w:rPr>
                <w:rFonts w:ascii="Bookman Old Style" w:hAnsi="Bookman Old Style"/>
                <w:sz w:val="20"/>
                <w:szCs w:val="20"/>
              </w:rPr>
              <w:t>20</w:t>
            </w:r>
            <w:r w:rsidRPr="00101BBE">
              <w:rPr>
                <w:rFonts w:ascii="Bookman Old Style" w:hAnsi="Bookman Old Style"/>
                <w:sz w:val="20"/>
                <w:szCs w:val="20"/>
              </w:rPr>
              <w:t xml:space="preserve"> – Utile/(perdita)</w:t>
            </w:r>
          </w:p>
        </w:tc>
        <w:tc>
          <w:tcPr>
            <w:tcW w:w="1466" w:type="dxa"/>
            <w:shd w:val="clear" w:color="auto" w:fill="E5DFEC" w:themeFill="accent4" w:themeFillTint="33"/>
          </w:tcPr>
          <w:p w14:paraId="6BE5E54B" w14:textId="63E7CB46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Risultati di bilancio esercizio 20</w:t>
            </w:r>
            <w:r w:rsidR="00BB2A5E">
              <w:rPr>
                <w:rFonts w:ascii="Bookman Old Style" w:hAnsi="Bookman Old Style"/>
                <w:sz w:val="20"/>
                <w:szCs w:val="20"/>
              </w:rPr>
              <w:t>2</w:t>
            </w:r>
            <w:r w:rsidR="00D62BE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101BBE">
              <w:rPr>
                <w:rFonts w:ascii="Bookman Old Style" w:hAnsi="Bookman Old Style"/>
                <w:sz w:val="20"/>
                <w:szCs w:val="20"/>
              </w:rPr>
              <w:t xml:space="preserve"> – Utile/(perdita)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6D9A53EC" w14:textId="7316872E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Risultati di bilancio esercizio 202</w:t>
            </w:r>
            <w:r w:rsidR="00D62BE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101BBE">
              <w:rPr>
                <w:rFonts w:ascii="Bookman Old Style" w:hAnsi="Bookman Old Style"/>
                <w:sz w:val="20"/>
                <w:szCs w:val="20"/>
              </w:rPr>
              <w:t xml:space="preserve"> – Utile</w:t>
            </w:r>
            <w:proofErr w:type="gramStart"/>
            <w:r w:rsidRPr="00101BBE">
              <w:rPr>
                <w:rFonts w:ascii="Bookman Old Style" w:hAnsi="Bookman Old Style"/>
                <w:sz w:val="20"/>
                <w:szCs w:val="20"/>
              </w:rPr>
              <w:t>/(</w:t>
            </w:r>
            <w:proofErr w:type="gramEnd"/>
            <w:r w:rsidRPr="00101BBE">
              <w:rPr>
                <w:rFonts w:ascii="Bookman Old Style" w:hAnsi="Bookman Old Style"/>
                <w:sz w:val="20"/>
                <w:szCs w:val="20"/>
              </w:rPr>
              <w:t>perdita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5492714E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Amministratore della società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11119ED2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Trattamento economico complessivo spettante agli amministratori (DATO 2020)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6C069DD3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link al sito della società</w:t>
            </w:r>
          </w:p>
        </w:tc>
      </w:tr>
      <w:tr w:rsidR="00101BBE" w:rsidRPr="00101BBE" w14:paraId="02260D17" w14:textId="77777777" w:rsidTr="00BB2A5E">
        <w:trPr>
          <w:trHeight w:val="1072"/>
        </w:trPr>
        <w:tc>
          <w:tcPr>
            <w:tcW w:w="1809" w:type="dxa"/>
          </w:tcPr>
          <w:p w14:paraId="6E3AC39F" w14:textId="477DE399" w:rsidR="00101BBE" w:rsidRPr="00D62BE3" w:rsidRDefault="00101BBE" w:rsidP="00CA3A6F">
            <w:pPr>
              <w:pStyle w:val="Default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D62BE3">
              <w:rPr>
                <w:rFonts w:ascii="Bookman Old Style" w:hAnsi="Bookman Old Style"/>
                <w:b/>
                <w:bCs/>
                <w:sz w:val="20"/>
                <w:szCs w:val="20"/>
              </w:rPr>
              <w:t>Associazione Conferenza dei Sindaci della Riviera del Brenta</w:t>
            </w:r>
          </w:p>
          <w:p w14:paraId="336865B0" w14:textId="0094CE08" w:rsidR="00BB2A5E" w:rsidRPr="00101BBE" w:rsidRDefault="00BB2A5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C.F. 90196680277</w:t>
            </w:r>
          </w:p>
          <w:p w14:paraId="5635E322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701F4C3C" w14:textId="669DA41A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18E0EA" w14:textId="77777777" w:rsid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L'associazione ha lo scopo di perseguire lo sviluppo economico e sociale dei Comuni associati mediante iniziative promosse e decise dalla Conferenza dei Sindaci stessa nonché delle finalità di cui alla L.R. 25 maggio 2021, n. 12, “Iniziative per lo sviluppo economico e sociale del Delta del Po e della Riviera del Brenta”.</w:t>
            </w:r>
          </w:p>
          <w:p w14:paraId="0EDFF102" w14:textId="77777777" w:rsidR="00D62BE3" w:rsidRDefault="00D62BE3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7BBC84F1" w14:textId="752E6CD2" w:rsidR="00D62BE3" w:rsidRPr="00101BBE" w:rsidRDefault="00D62BE3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DC27D" w14:textId="77777777" w:rsid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7.04965%</w:t>
            </w:r>
          </w:p>
          <w:p w14:paraId="3CD987F3" w14:textId="77777777" w:rsidR="00BB2A5E" w:rsidRDefault="00BB2A5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0A45082A" w14:textId="67B0A97F" w:rsidR="00BB2A5E" w:rsidRPr="00101BBE" w:rsidRDefault="00BB2A5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556FB6B" w14:textId="2DBBFFF5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31.12.2050</w:t>
            </w:r>
          </w:p>
        </w:tc>
        <w:tc>
          <w:tcPr>
            <w:tcW w:w="1210" w:type="dxa"/>
          </w:tcPr>
          <w:p w14:paraId="210767B7" w14:textId="77777777" w:rsidR="00101BBE" w:rsidRDefault="00BB2A5E" w:rsidP="00CA3A6F">
            <w:pPr>
              <w:pStyle w:val="Default"/>
              <w:rPr>
                <w:rFonts w:ascii="BookmanOldStyleUnicode" w:eastAsiaTheme="minorHAnsi" w:hAnsi="BookmanOldStyleUnicode" w:cs="BookmanOldStyleUnicode"/>
                <w:lang w:eastAsia="en-US"/>
              </w:rPr>
            </w:pPr>
            <w:r>
              <w:rPr>
                <w:rFonts w:ascii="BookmanOldStyleUnicode" w:eastAsiaTheme="minorHAnsi" w:hAnsi="BookmanOldStyleUnicode" w:cs="BookmanOldStyleUnicode"/>
                <w:lang w:eastAsia="en-US"/>
              </w:rPr>
              <w:t>€ 1.406,9 quota parte del patrimonio iniziale (art. 13 Statuto)</w:t>
            </w:r>
          </w:p>
          <w:p w14:paraId="44F7E846" w14:textId="56CB4477" w:rsidR="00BB2A5E" w:rsidRPr="00101BBE" w:rsidRDefault="00BB2A5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OldStyleUnicode" w:eastAsiaTheme="minorHAnsi" w:hAnsi="BookmanOldStyleUnicode" w:cs="BookmanOldStyleUnicode"/>
                <w:lang w:eastAsia="en-US"/>
              </w:rPr>
              <w:t>Su Bilancio 2021</w:t>
            </w:r>
          </w:p>
        </w:tc>
        <w:tc>
          <w:tcPr>
            <w:tcW w:w="1531" w:type="dxa"/>
          </w:tcPr>
          <w:p w14:paraId="7596AC4E" w14:textId="786403F5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101BBE">
              <w:rPr>
                <w:rFonts w:ascii="Bookman Old Style" w:hAnsi="Bookman Old Style"/>
                <w:sz w:val="20"/>
                <w:szCs w:val="20"/>
              </w:rPr>
              <w:t>n.d.</w:t>
            </w:r>
            <w:proofErr w:type="spellEnd"/>
          </w:p>
        </w:tc>
        <w:tc>
          <w:tcPr>
            <w:tcW w:w="1228" w:type="dxa"/>
          </w:tcPr>
          <w:p w14:paraId="305D153D" w14:textId="77777777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ED37B63" w14:textId="69D1189F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101BBE">
              <w:rPr>
                <w:rFonts w:ascii="Bookman Old Style" w:hAnsi="Bookman Old Style"/>
                <w:sz w:val="20"/>
                <w:szCs w:val="20"/>
              </w:rPr>
              <w:t>n.d.</w:t>
            </w:r>
            <w:proofErr w:type="spellEnd"/>
          </w:p>
        </w:tc>
        <w:tc>
          <w:tcPr>
            <w:tcW w:w="1466" w:type="dxa"/>
          </w:tcPr>
          <w:p w14:paraId="52314D58" w14:textId="18FA5B18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101BBE">
              <w:rPr>
                <w:rFonts w:ascii="Bookman Old Style" w:hAnsi="Bookman Old Style"/>
                <w:sz w:val="20"/>
                <w:szCs w:val="20"/>
              </w:rPr>
              <w:t>n.d.</w:t>
            </w:r>
            <w:proofErr w:type="spellEnd"/>
          </w:p>
        </w:tc>
        <w:tc>
          <w:tcPr>
            <w:tcW w:w="1559" w:type="dxa"/>
          </w:tcPr>
          <w:p w14:paraId="487114A4" w14:textId="7CFC3E94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101BBE">
              <w:rPr>
                <w:rFonts w:ascii="Bookman Old Style" w:hAnsi="Bookman Old Style"/>
                <w:sz w:val="20"/>
                <w:szCs w:val="20"/>
              </w:rPr>
              <w:t>n.d.</w:t>
            </w:r>
            <w:proofErr w:type="spellEnd"/>
          </w:p>
        </w:tc>
        <w:tc>
          <w:tcPr>
            <w:tcW w:w="1417" w:type="dxa"/>
          </w:tcPr>
          <w:p w14:paraId="3531B218" w14:textId="77777777" w:rsidR="00101BBE" w:rsidRPr="00101BBE" w:rsidRDefault="00101BBE" w:rsidP="00792A3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 xml:space="preserve">Alessandro Baldin (Presidente </w:t>
            </w:r>
            <w:proofErr w:type="spellStart"/>
            <w:r w:rsidRPr="00101BBE">
              <w:rPr>
                <w:rFonts w:ascii="Bookman Old Style" w:hAnsi="Bookman Old Style"/>
                <w:sz w:val="20"/>
                <w:szCs w:val="20"/>
              </w:rPr>
              <w:t>CdA</w:t>
            </w:r>
            <w:proofErr w:type="spellEnd"/>
            <w:r w:rsidRPr="00101BBE">
              <w:rPr>
                <w:rFonts w:ascii="Bookman Old Style" w:hAnsi="Bookman Old Style"/>
                <w:sz w:val="20"/>
                <w:szCs w:val="20"/>
              </w:rPr>
              <w:t xml:space="preserve"> dal 21.10.2019).</w:t>
            </w:r>
          </w:p>
        </w:tc>
        <w:tc>
          <w:tcPr>
            <w:tcW w:w="1418" w:type="dxa"/>
          </w:tcPr>
          <w:p w14:paraId="4E8A0661" w14:textId="4D042838" w:rsidR="00101BBE" w:rsidRP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01BBE">
              <w:rPr>
                <w:rFonts w:ascii="Bookman Old Style" w:hAnsi="Bookman Old Style"/>
                <w:sz w:val="20"/>
                <w:szCs w:val="20"/>
              </w:rPr>
              <w:t xml:space="preserve">Nessun compenso. </w:t>
            </w:r>
          </w:p>
        </w:tc>
        <w:tc>
          <w:tcPr>
            <w:tcW w:w="2126" w:type="dxa"/>
          </w:tcPr>
          <w:p w14:paraId="2797BAE0" w14:textId="77777777" w:rsidR="00101BBE" w:rsidRDefault="00101BBE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101BBE">
              <w:rPr>
                <w:rFonts w:ascii="Bookman Old Style" w:hAnsi="Bookman Old Style"/>
                <w:sz w:val="20"/>
                <w:szCs w:val="20"/>
              </w:rPr>
              <w:t>n.d.</w:t>
            </w:r>
            <w:proofErr w:type="spellEnd"/>
          </w:p>
          <w:p w14:paraId="3DFF4765" w14:textId="77777777" w:rsidR="00D62BE3" w:rsidRDefault="00D62BE3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3AE68590" w14:textId="77777777" w:rsidR="00D62BE3" w:rsidRDefault="00D62BE3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  <w:p w14:paraId="67FA2338" w14:textId="41B20AC2" w:rsidR="00D62BE3" w:rsidRPr="00101BBE" w:rsidRDefault="00D62BE3" w:rsidP="00CA3A6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Link alla pagina dei contributi regionali assegnati all’associazione riconosciuta: </w:t>
            </w:r>
            <w:hyperlink r:id="rId4" w:history="1">
              <w:r w:rsidRPr="00C73E3C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https://www.regione.veneto.it/web/enti-locali/riviera-del-brenta</w:t>
              </w:r>
            </w:hyperlink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</w:tbl>
    <w:p w14:paraId="76347D82" w14:textId="0287087F" w:rsidR="00D62BE3" w:rsidRDefault="00D62BE3">
      <w:pPr>
        <w:rPr>
          <w:sz w:val="16"/>
          <w:szCs w:val="16"/>
        </w:rPr>
      </w:pPr>
    </w:p>
    <w:p w14:paraId="115D9A66" w14:textId="4EF8FF9E" w:rsidR="00101BBE" w:rsidRDefault="00101BBE">
      <w:pPr>
        <w:rPr>
          <w:sz w:val="16"/>
          <w:szCs w:val="16"/>
        </w:rPr>
      </w:pPr>
    </w:p>
    <w:sectPr w:rsidR="00101BBE" w:rsidSect="00792A32">
      <w:pgSz w:w="23814" w:h="16839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32"/>
    <w:rsid w:val="00101BBE"/>
    <w:rsid w:val="00201832"/>
    <w:rsid w:val="00225792"/>
    <w:rsid w:val="00377DD9"/>
    <w:rsid w:val="005116B9"/>
    <w:rsid w:val="006E03E8"/>
    <w:rsid w:val="00792A32"/>
    <w:rsid w:val="00855BF3"/>
    <w:rsid w:val="009A2099"/>
    <w:rsid w:val="00AC2A3D"/>
    <w:rsid w:val="00B50EA9"/>
    <w:rsid w:val="00BB2A5E"/>
    <w:rsid w:val="00BF677B"/>
    <w:rsid w:val="00C13220"/>
    <w:rsid w:val="00D62BE3"/>
    <w:rsid w:val="00D912DD"/>
    <w:rsid w:val="00F21E65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C79B"/>
  <w15:docId w15:val="{1CFA36C4-681A-41F6-BFB1-7908EE53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92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2A3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C2A3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2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gione.veneto.it/web/enti-locali/riviera-del-bren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Silvia Barzon</cp:lastModifiedBy>
  <cp:revision>3</cp:revision>
  <cp:lastPrinted>2023-06-21T12:27:00Z</cp:lastPrinted>
  <dcterms:created xsi:type="dcterms:W3CDTF">2024-05-28T11:42:00Z</dcterms:created>
  <dcterms:modified xsi:type="dcterms:W3CDTF">2024-05-28T11:46:00Z</dcterms:modified>
</cp:coreProperties>
</file>